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rPr>
        <w:t xml:space="preserve">Расчет доли продажи электроэнергии потребителям по регулируемым ценам </w:t>
      </w:r>
    </w:p>
    <w:p>
      <w:pPr>
        <w:pStyle w:val="style0"/>
        <w:jc w:val="center"/>
      </w:pPr>
      <w:r>
        <w:rPr>
          <w:b/>
        </w:rPr>
      </w:r>
    </w:p>
    <w:p>
      <w:pPr>
        <w:pStyle w:val="style1"/>
        <w:jc w:val="both"/>
      </w:pPr>
      <w:r>
        <w:rPr>
          <w:color w:val="00000A"/>
          <w:sz w:val="24"/>
          <w:b w:val="false"/>
          <w:szCs w:val="24"/>
          <w:rFonts w:ascii="Times New Roman" w:hAnsi="Times New Roman"/>
        </w:rPr>
        <w:t>В соответствии с Приказом ФСТ № 166-э/1 от 21.08.2007 "Об утверждении Правил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 (с учетом изменений и дополнений внесенных приказом ФСТ от 29.05.2009 № 103-э/1) (далее Правила) доля продажи электроэнергии потребителям по регулируемым ценам рассчитывается следующим образом:</w:t>
      </w:r>
    </w:p>
    <w:p>
      <w:pPr>
        <w:pStyle w:val="style29"/>
        <w:jc w:val="center"/>
        <w:ind w:hanging="0" w:left="283" w:right="0"/>
      </w:pPr>
      <w:r>
        <w:rPr/>
      </w:r>
    </w:p>
    <w:p>
      <w:pPr>
        <w:pStyle w:val="style29"/>
        <w:ind w:hanging="0" w:left="283" w:right="0"/>
      </w:pPr>
      <w:r>
        <w:rPr/>
        <w:t>Где:</w:t>
      </w:r>
    </w:p>
    <w:p>
      <w:pPr>
        <w:pStyle w:val="style0"/>
        <w:jc w:val="both"/>
      </w:pPr>
      <w:r>
        <w:rPr/>
      </w:r>
      <w:r>
        <w:rPr/>
        <w:t xml:space="preserve"> </w:t>
      </w:r>
      <w:r>
        <w:rPr/>
        <w:t>- объем электрической энергии, приобретенный ГП (ЭСО, ЭСК) на оптовом рынке по регулируемым договорам, определяемый в соответствии с Правилами оптового рынка и договором о присоединении к торговой системе оптового рынка исходя из установленной Правительством Российской Федерации величины максимального объема продажи электрической энергии по регулируемым ценам (тарифам) (альфа), за вычетом:</w:t>
      </w:r>
    </w:p>
    <w:p>
      <w:pPr>
        <w:pStyle w:val="style0"/>
        <w:jc w:val="both"/>
        <w:ind w:firstLine="360" w:left="0" w:right="0"/>
      </w:pPr>
      <w:r>
        <w:rPr/>
        <w:t xml:space="preserve"> </w:t>
      </w:r>
      <w:r>
        <w:rPr/>
        <w:t>- объема электрической энергии, необходимого для компенсации потерь электрической энергии в электрических сетях, учтенного при формировании объемов поставки электрической энергии по регулируемым договорам, определяемого в соответствии с пунктом 52 Правил оптового рынка и договором о присоединении к торговой системе оптового рынка;</w:t>
      </w:r>
    </w:p>
    <w:p>
      <w:pPr>
        <w:pStyle w:val="style0"/>
        <w:jc w:val="both"/>
        <w:ind w:firstLine="360" w:left="0" w:right="0"/>
      </w:pPr>
      <w:r>
        <w:rPr/>
        <w:t xml:space="preserve"> </w:t>
      </w:r>
      <w:r>
        <w:rPr/>
        <w:t xml:space="preserve">- объемов, определяемых в соответствии с </w:t>
      </w:r>
      <w:hyperlink w:anchor="sub_7">
        <w:r>
          <w:rPr>
            <w:rStyle w:val="style23"/>
          </w:rPr>
          <w:t>пунктом 7</w:t>
        </w:r>
      </w:hyperlink>
      <w:r>
        <w:rPr/>
        <w:t xml:space="preserve"> Правил Дельта </w:t>
      </w:r>
    </w:p>
    <w:p>
      <w:pPr>
        <w:pStyle w:val="style0"/>
        <w:jc w:val="both"/>
        <w:ind w:firstLine="360" w:left="0" w:right="0"/>
      </w:pPr>
      <w:r>
        <w:rPr/>
        <w:t xml:space="preserve">- объемов, определяемых в соответствии с </w:t>
      </w:r>
      <w:hyperlink w:anchor="sub_13">
        <w:r>
          <w:rPr>
            <w:rStyle w:val="style23"/>
          </w:rPr>
          <w:t>пунктом 13</w:t>
        </w:r>
      </w:hyperlink>
      <w:r>
        <w:rPr/>
        <w:t xml:space="preserve"> Правил</w:t>
      </w:r>
    </w:p>
    <w:p>
      <w:pPr>
        <w:pStyle w:val="style0"/>
        <w:jc w:val="both"/>
      </w:pPr>
      <w:r>
        <w:rPr/>
      </w:r>
      <w:r>
        <w:rPr/>
        <w:t xml:space="preserve"> </w:t>
      </w:r>
      <w:r>
        <w:rPr/>
        <w:t xml:space="preserve">- объем электрической энергии, приобретенный ГП (ЭСО, ЭСК) на розничном рынке у g-того производителя электрической энергии, установленная мощность генерирующего оборудования которого соответствует количественным характеристикам, предъявляемым к участникам оптового рынка (далее - крупный производитель), по регулируемым ценам (тарифам), определяемый в соответствии с </w:t>
      </w:r>
      <w:hyperlink w:anchor="sub_8816">
        <w:r>
          <w:rPr>
            <w:rStyle w:val="style23"/>
          </w:rPr>
          <w:t>формулой 16</w:t>
        </w:r>
      </w:hyperlink>
      <w:r>
        <w:rPr/>
        <w:t xml:space="preserve"> пункта 22.1  Правил;</w:t>
      </w:r>
    </w:p>
    <w:p>
      <w:pPr>
        <w:pStyle w:val="style0"/>
        <w:jc w:val="both"/>
      </w:pPr>
      <w:r>
        <w:rPr/>
      </w:r>
      <w:r>
        <w:rPr/>
        <w:t xml:space="preserve"> </w:t>
      </w:r>
      <w:r>
        <w:rPr/>
        <w:t xml:space="preserve">- объем электрической энергии, приобретенный ГП (ЭСО, ЭСК) на розничном рынке у g-того производителя электрической энергии, установленная мощность генерирующего оборудования которого не соответствует количественным характеристикам, предъявляемым к участникам оптового рынка (далее мелкий производитель), по регулируемым ценам (тарифам), определяемый в соответствии с </w:t>
      </w:r>
      <w:hyperlink w:anchor="sub_23">
        <w:r>
          <w:rPr>
            <w:rStyle w:val="style23"/>
          </w:rPr>
          <w:t>пунктом 23</w:t>
        </w:r>
      </w:hyperlink>
      <w:r>
        <w:rPr/>
        <w:t xml:space="preserve"> Правил;</w:t>
      </w:r>
    </w:p>
    <w:p>
      <w:pPr>
        <w:pStyle w:val="style0"/>
        <w:jc w:val="both"/>
      </w:pPr>
      <w:r>
        <w:rPr/>
      </w:r>
      <w:r>
        <w:rPr/>
        <w:t xml:space="preserve"> </w:t>
      </w:r>
      <w:r>
        <w:rPr/>
        <w:t>- объем электрической энергии, приобретенный ГП (ЭСО, ЭСК) у других ЭСО, ЭСК по регулируемым ценам (тарифам);</w:t>
      </w:r>
    </w:p>
    <w:p>
      <w:pPr>
        <w:pStyle w:val="style0"/>
        <w:jc w:val="both"/>
      </w:pPr>
      <w:r>
        <w:rPr/>
      </w:r>
      <w:r>
        <w:rPr/>
        <w:t xml:space="preserve"> </w:t>
      </w:r>
      <w:r>
        <w:rPr/>
        <w:t>- объем поставки электрической энергии (мощности) населению ГП (ГП второго уровня, ЭСО, ЭСК) напрямую, а также через покупателей данного ГП (ГП второго уровня, ЭСО, ЭСК), определяемый  с учетом положений пункта Правил;</w:t>
      </w:r>
    </w:p>
    <w:p>
      <w:pPr>
        <w:pStyle w:val="style0"/>
        <w:jc w:val="both"/>
      </w:pPr>
      <w:r>
        <w:rPr/>
      </w:r>
      <w:r>
        <w:rPr/>
        <w:t xml:space="preserve">, </w:t>
      </w:r>
      <w:r>
        <w:rPr/>
      </w:r>
      <w:r>
        <w:rPr/>
        <w:t xml:space="preserve">, </w:t>
      </w:r>
      <w:r>
        <w:rPr/>
      </w:r>
      <w:r>
        <w:rPr/>
        <w:t xml:space="preserve"> - объем электрической энергии (мощности), фактически поставленный населению покупателями ГП (ЭСО, ЭСК), указанными в пунктах 7-</w:t>
      </w:r>
      <w:hyperlink w:anchor="sub_7">
        <w:r>
          <w:rPr>
            <w:rStyle w:val="style23"/>
          </w:rPr>
          <w:t>11</w:t>
        </w:r>
      </w:hyperlink>
      <w:r>
        <w:rPr/>
        <w:t xml:space="preserve"> Правил, а также ГП второго уровня, определяемый с учетом положений пункта 14 правил;</w:t>
      </w:r>
    </w:p>
    <w:p>
      <w:pPr>
        <w:pStyle w:val="style0"/>
        <w:jc w:val="both"/>
      </w:pPr>
      <w:r>
        <w:rPr/>
      </w:r>
      <w:r>
        <w:rPr/>
        <w:t xml:space="preserve"> </w:t>
      </w:r>
      <w:r>
        <w:rPr/>
        <w:t>- договорный объем поставки электрической энергии ГП (ЭСО, ЭСК) j-тому покупателю, который приобретает у ГП (ЭСО, ЭСК) в точке (точках) поставки на розничном рынке только часть своего фактического потребления электрической энергии,</w:t>
      </w:r>
    </w:p>
    <w:p>
      <w:pPr>
        <w:pStyle w:val="style0"/>
        <w:jc w:val="both"/>
      </w:pPr>
      <w:r>
        <w:rPr/>
        <w:t xml:space="preserve"> </w:t>
      </w:r>
      <w:r>
        <w:rPr/>
        <w:t>а остальной объем приобретается им у иной энергосбытовой организации и (или) непосредственно на оптовом рынке (далее - покупатель оптового и розничного рынка), определенный на соответствующий расчетный период текущего года на согласованную сторонами договора дату начала осуществления поставки указанным ГП (ЭСО, ЭСК) такому покупателю только части его фактического потребления электрической энергии (далее - первоначальный договорный объем), либо договорный объем, измененный в меньшую сторону по сравнению с первоначальным договорным объемом (0 тыс. кВтч);</w:t>
      </w:r>
    </w:p>
    <w:p>
      <w:pPr>
        <w:pStyle w:val="style0"/>
        <w:jc w:val="both"/>
      </w:pPr>
      <w:r>
        <w:rPr/>
      </w:r>
      <w:r>
        <w:rPr/>
        <w:t xml:space="preserve"> </w:t>
      </w:r>
      <w:r>
        <w:rPr/>
        <w:t xml:space="preserve">- объем электрической энергии (мощности), фактически поставленный прочему, не указанному в </w:t>
      </w:r>
      <w:hyperlink w:anchor="sub_7">
        <w:r>
          <w:rPr>
            <w:rStyle w:val="style23"/>
          </w:rPr>
          <w:t>пунктах 7</w:t>
        </w:r>
      </w:hyperlink>
      <w:r>
        <w:rPr/>
        <w:t>, 11, 12 и 13 Правил m-тому покупателю;</w:t>
      </w:r>
    </w:p>
    <w:p>
      <w:pPr>
        <w:pStyle w:val="style0"/>
        <w:jc w:val="both"/>
      </w:pPr>
      <w:r>
        <w:rPr/>
      </w:r>
      <w:r>
        <w:rPr/>
        <w:t xml:space="preserve"> </w:t>
      </w:r>
      <w:r>
        <w:rPr/>
        <w:t xml:space="preserve">- объем электрической энергии (мощности), фактически потребленный покупателями, обслуживающимися </w:t>
      </w:r>
      <w:r>
        <w:rPr>
          <w:lang w:val="en-US"/>
        </w:rPr>
        <w:t>r</w:t>
      </w:r>
      <w:r>
        <w:rPr/>
        <w:t xml:space="preserve">-тым ГП второго уровня (включая сетевые организации, приобретающие электроэнергию (мощность) в целях компенсации потерь у данного ГП второго уровня), ЭСО, ЭСК в соответствующем расчетном периоде, за вычетом объема покупки электрической энергии </w:t>
      </w:r>
      <w:r>
        <w:rPr>
          <w:lang w:val="en-US"/>
        </w:rPr>
        <w:t>r</w:t>
      </w:r>
      <w:r>
        <w:rPr/>
        <w:t>-тым ГП второго уровня, ЭСО, ЭСК у розничных производителей в текущем расчетном периоде;</w:t>
      </w:r>
    </w:p>
    <w:p>
      <w:pPr>
        <w:pStyle w:val="style0"/>
        <w:jc w:val="both"/>
      </w:pPr>
      <w:r>
        <w:rPr/>
      </w:r>
      <w:r>
        <w:rPr/>
        <w:t xml:space="preserve"> </w:t>
      </w:r>
      <w:r>
        <w:rPr/>
        <w:t>- объем фактических потерь электрической энергии в сетях n-ной сетевой организации, приобретающей электрическую энергию у соответствующего ГП (ГП второго уровня, ЭСО, ЭСК), определяемый с использованием данных государственной статистической отчетности по форме 46-ээ (сбыт).</w:t>
      </w:r>
    </w:p>
    <w:p>
      <w:pPr>
        <w:pStyle w:val="style0"/>
        <w:jc w:val="both"/>
      </w:pPr>
      <w:r>
        <w:rPr/>
      </w:r>
    </w:p>
    <w:p>
      <w:pPr>
        <w:pStyle w:val="style0"/>
        <w:jc w:val="center"/>
      </w:pPr>
      <w:r>
        <w:rPr/>
      </w:r>
    </w:p>
    <w:tbl>
      <w:tblPr>
        <w:tblBorders/>
        <w:jc w:val="left"/>
        <w:tblInd w:type="dxa" w:w="-108"/>
      </w:tblPr>
      <w:tblGrid>
        <w:gridCol w:w="1700"/>
        <w:gridCol w:w="3400"/>
        <w:gridCol w:w="4958"/>
        <w:gridCol w:w="6376"/>
        <w:gridCol w:w="7655"/>
      </w:tblGrid>
      <w:tr>
        <w:trPr>
          <w:cantSplit w:val="false"/>
        </w:trPr>
        <w:tc>
          <w:tcPr>
            <w:tcBorders/>
            <w:shd w:fill="auto"/>
            <w:tcW w:type="dxa" w:w="1700"/>
            <w:tcMar>
              <w:top w:type="dxa" w:w="0"/>
              <w:left w:type="dxa" w:w="108"/>
              <w:bottom w:type="dxa" w:w="0"/>
              <w:right w:type="dxa" w:w="108"/>
            </w:tcMar>
          </w:tcPr>
          <w:p>
            <w:pPr>
              <w:pStyle w:val="style0"/>
              <w:jc w:val="center"/>
              <w:spacing w:line="360" w:lineRule="atLeast"/>
            </w:pPr>
            <w:r>
              <w:rPr/>
            </w:r>
          </w:p>
        </w:tc>
        <w:tc>
          <w:tcPr>
            <w:tcBorders/>
            <w:shd w:fill="auto"/>
            <w:tcW w:type="dxa" w:w="3400"/>
            <w:tcMar>
              <w:top w:type="dxa" w:w="0"/>
              <w:left w:type="dxa" w:w="108"/>
              <w:bottom w:type="dxa" w:w="0"/>
              <w:right w:type="dxa" w:w="108"/>
            </w:tcMar>
          </w:tcPr>
          <w:p>
            <w:pPr>
              <w:pStyle w:val="style0"/>
              <w:jc w:val="center"/>
              <w:spacing w:line="360" w:lineRule="atLeast"/>
            </w:pPr>
            <w:r>
              <w:rPr/>
              <w:t>Сентябрь 2010</w:t>
            </w:r>
          </w:p>
        </w:tc>
        <w:tc>
          <w:tcPr>
            <w:tcBorders/>
            <w:shd w:fill="auto"/>
            <w:tcW w:type="dxa" w:w="4958"/>
            <w:tcMar>
              <w:top w:type="dxa" w:w="0"/>
              <w:left w:type="dxa" w:w="108"/>
              <w:bottom w:type="dxa" w:w="0"/>
              <w:right w:type="dxa" w:w="108"/>
            </w:tcMar>
          </w:tcPr>
          <w:p>
            <w:pPr>
              <w:pStyle w:val="style0"/>
              <w:jc w:val="center"/>
              <w:spacing w:line="360" w:lineRule="atLeast"/>
            </w:pPr>
            <w:r>
              <w:rPr/>
              <w:t>Октябрь 2010</w:t>
            </w:r>
          </w:p>
        </w:tc>
        <w:tc>
          <w:tcPr>
            <w:tcBorders/>
            <w:shd w:fill="auto"/>
            <w:tcW w:type="dxa" w:w="6376"/>
            <w:tcMar>
              <w:top w:type="dxa" w:w="0"/>
              <w:left w:type="dxa" w:w="108"/>
              <w:bottom w:type="dxa" w:w="0"/>
              <w:right w:type="dxa" w:w="108"/>
            </w:tcMar>
          </w:tcPr>
          <w:p>
            <w:pPr>
              <w:pStyle w:val="style0"/>
              <w:jc w:val="center"/>
              <w:spacing w:line="360" w:lineRule="atLeast"/>
            </w:pPr>
            <w:r>
              <w:rPr/>
              <w:t>Ноябрь 2010</w:t>
            </w:r>
          </w:p>
        </w:tc>
        <w:tc>
          <w:tcPr>
            <w:tcBorders/>
            <w:shd w:fill="auto"/>
            <w:tcW w:type="dxa" w:w="7655"/>
            <w:tcMar>
              <w:top w:type="dxa" w:w="0"/>
              <w:left w:type="dxa" w:w="108"/>
              <w:bottom w:type="dxa" w:w="0"/>
              <w:right w:type="dxa" w:w="108"/>
            </w:tcMar>
          </w:tcPr>
          <w:p>
            <w:pPr>
              <w:pStyle w:val="style0"/>
              <w:jc w:val="center"/>
              <w:spacing w:line="360" w:lineRule="atLeast"/>
            </w:pPr>
            <w:r>
              <w:rPr/>
              <w:t>Декабрь 2010</w:t>
            </w:r>
          </w:p>
        </w:tc>
      </w:tr>
      <w:tr>
        <w:trPr>
          <w:cantSplit w:val="false"/>
        </w:trPr>
        <w:tc>
          <w:tcPr>
            <w:tcBorders/>
            <w:shd w:fill="auto"/>
            <w:tcW w:type="dxa" w:w="1700"/>
            <w:tcMar>
              <w:top w:type="dxa" w:w="0"/>
              <w:left w:type="dxa" w:w="108"/>
              <w:bottom w:type="dxa" w:w="0"/>
              <w:right w:type="dxa" w:w="108"/>
            </w:tcMar>
          </w:tcPr>
          <w:p>
            <w:pPr>
              <w:pStyle w:val="style0"/>
              <w:jc w:val="center"/>
              <w:spacing w:line="360" w:lineRule="atLeast"/>
            </w:pPr>
            <w:r>
              <w:rPr/>
            </w:r>
          </w:p>
        </w:tc>
        <w:tc>
          <w:tcPr>
            <w:tcBorders/>
            <w:shd w:fill="auto"/>
            <w:tcW w:type="dxa" w:w="3400"/>
            <w:tcMar>
              <w:top w:type="dxa" w:w="0"/>
              <w:left w:type="dxa" w:w="108"/>
              <w:bottom w:type="dxa" w:w="0"/>
              <w:right w:type="dxa" w:w="108"/>
            </w:tcMar>
          </w:tcPr>
          <w:p>
            <w:pPr>
              <w:pStyle w:val="style0"/>
              <w:jc w:val="center"/>
              <w:spacing w:line="360" w:lineRule="atLeast"/>
            </w:pPr>
            <w:r>
              <w:rPr/>
              <w:t>18068577</w:t>
            </w:r>
          </w:p>
        </w:tc>
        <w:tc>
          <w:tcPr>
            <w:tcBorders/>
            <w:shd w:fill="auto"/>
            <w:tcW w:type="dxa" w:w="4958"/>
            <w:tcMar>
              <w:top w:type="dxa" w:w="0"/>
              <w:left w:type="dxa" w:w="108"/>
              <w:bottom w:type="dxa" w:w="0"/>
              <w:right w:type="dxa" w:w="108"/>
            </w:tcMar>
          </w:tcPr>
          <w:p>
            <w:pPr>
              <w:pStyle w:val="style0"/>
              <w:jc w:val="center"/>
              <w:spacing w:line="360" w:lineRule="atLeast"/>
            </w:pPr>
            <w:r>
              <w:rPr/>
              <w:t>21320361</w:t>
            </w:r>
          </w:p>
        </w:tc>
        <w:tc>
          <w:tcPr>
            <w:tcBorders/>
            <w:shd w:fill="auto"/>
            <w:tcW w:type="dxa" w:w="6376"/>
            <w:tcMar>
              <w:top w:type="dxa" w:w="0"/>
              <w:left w:type="dxa" w:w="108"/>
              <w:bottom w:type="dxa" w:w="0"/>
              <w:right w:type="dxa" w:w="108"/>
            </w:tcMar>
          </w:tcPr>
          <w:p>
            <w:pPr>
              <w:pStyle w:val="style0"/>
              <w:jc w:val="center"/>
              <w:spacing w:line="360" w:lineRule="atLeast"/>
            </w:pPr>
            <w:r>
              <w:rPr/>
              <w:t>22606433</w:t>
            </w:r>
          </w:p>
        </w:tc>
        <w:tc>
          <w:tcPr>
            <w:tcBorders/>
            <w:shd w:fill="auto"/>
            <w:tcW w:type="dxa" w:w="7655"/>
            <w:tcMar>
              <w:top w:type="dxa" w:w="0"/>
              <w:left w:type="dxa" w:w="108"/>
              <w:bottom w:type="dxa" w:w="0"/>
              <w:right w:type="dxa" w:w="108"/>
            </w:tcMar>
          </w:tcPr>
          <w:p>
            <w:pPr>
              <w:pStyle w:val="style0"/>
              <w:jc w:val="center"/>
              <w:spacing w:line="360" w:lineRule="atLeast"/>
            </w:pPr>
            <w:r>
              <w:rPr/>
              <w:t>2529717</w:t>
            </w:r>
          </w:p>
        </w:tc>
      </w:tr>
      <w:tr>
        <w:trPr>
          <w:cantSplit w:val="false"/>
        </w:trPr>
        <w:tc>
          <w:tcPr>
            <w:tcBorders/>
            <w:shd w:fill="auto"/>
            <w:tcW w:type="dxa" w:w="1700"/>
            <w:tcMar>
              <w:top w:type="dxa" w:w="0"/>
              <w:left w:type="dxa" w:w="108"/>
              <w:bottom w:type="dxa" w:w="0"/>
              <w:right w:type="dxa" w:w="108"/>
            </w:tcMar>
          </w:tcPr>
          <w:p>
            <w:pPr>
              <w:pStyle w:val="style0"/>
              <w:jc w:val="center"/>
              <w:spacing w:line="360" w:lineRule="atLeast"/>
            </w:pPr>
            <w:r>
              <w:rPr/>
            </w:r>
          </w:p>
        </w:tc>
        <w:tc>
          <w:tcPr>
            <w:tcBorders/>
            <w:shd w:fill="auto"/>
            <w:tcW w:type="dxa" w:w="3400"/>
            <w:tcMar>
              <w:top w:type="dxa" w:w="0"/>
              <w:left w:type="dxa" w:w="108"/>
              <w:bottom w:type="dxa" w:w="0"/>
              <w:right w:type="dxa" w:w="108"/>
            </w:tcMar>
          </w:tcPr>
          <w:p>
            <w:pPr>
              <w:pStyle w:val="style0"/>
              <w:jc w:val="center"/>
              <w:spacing w:line="360" w:lineRule="atLeast"/>
            </w:pPr>
            <w:r>
              <w:rPr/>
              <w:t>6002816</w:t>
            </w:r>
          </w:p>
        </w:tc>
        <w:tc>
          <w:tcPr>
            <w:tcBorders/>
            <w:shd w:fill="auto"/>
            <w:tcW w:type="dxa" w:w="4958"/>
            <w:tcMar>
              <w:top w:type="dxa" w:w="0"/>
              <w:left w:type="dxa" w:w="108"/>
              <w:bottom w:type="dxa" w:w="0"/>
              <w:right w:type="dxa" w:w="108"/>
            </w:tcMar>
          </w:tcPr>
          <w:p>
            <w:pPr>
              <w:pStyle w:val="style0"/>
              <w:jc w:val="center"/>
              <w:spacing w:line="360" w:lineRule="atLeast"/>
            </w:pPr>
            <w:r>
              <w:rPr/>
              <w:t>8581037</w:t>
            </w:r>
          </w:p>
        </w:tc>
        <w:tc>
          <w:tcPr>
            <w:tcBorders/>
            <w:shd w:fill="auto"/>
            <w:tcW w:type="dxa" w:w="6376"/>
            <w:tcMar>
              <w:top w:type="dxa" w:w="0"/>
              <w:left w:type="dxa" w:w="108"/>
              <w:bottom w:type="dxa" w:w="0"/>
              <w:right w:type="dxa" w:w="108"/>
            </w:tcMar>
          </w:tcPr>
          <w:p>
            <w:pPr>
              <w:pStyle w:val="style0"/>
              <w:jc w:val="center"/>
              <w:spacing w:line="360" w:lineRule="atLeast"/>
            </w:pPr>
            <w:r>
              <w:rPr/>
              <w:t>6119413</w:t>
            </w:r>
          </w:p>
        </w:tc>
        <w:tc>
          <w:tcPr>
            <w:tcBorders/>
            <w:shd w:fill="auto"/>
            <w:tcW w:type="dxa" w:w="7655"/>
            <w:tcMar>
              <w:top w:type="dxa" w:w="0"/>
              <w:left w:type="dxa" w:w="108"/>
              <w:bottom w:type="dxa" w:w="0"/>
              <w:right w:type="dxa" w:w="108"/>
            </w:tcMar>
          </w:tcPr>
          <w:p>
            <w:pPr>
              <w:pStyle w:val="style0"/>
              <w:jc w:val="center"/>
              <w:spacing w:line="360" w:lineRule="atLeast"/>
            </w:pPr>
            <w:r>
              <w:rPr/>
              <w:t>7580376</w:t>
            </w:r>
          </w:p>
        </w:tc>
      </w:tr>
      <w:tr>
        <w:trPr>
          <w:cantSplit w:val="false"/>
        </w:trPr>
        <w:tc>
          <w:tcPr>
            <w:tcBorders/>
            <w:shd w:fill="auto"/>
            <w:tcW w:type="dxa" w:w="1700"/>
            <w:tcMar>
              <w:top w:type="dxa" w:w="0"/>
              <w:left w:type="dxa" w:w="108"/>
              <w:bottom w:type="dxa" w:w="0"/>
              <w:right w:type="dxa" w:w="108"/>
            </w:tcMar>
          </w:tcPr>
          <w:p>
            <w:pPr>
              <w:pStyle w:val="style0"/>
              <w:jc w:val="center"/>
              <w:spacing w:line="360" w:lineRule="atLeast"/>
            </w:pPr>
            <w:r>
              <w:rPr/>
            </w:r>
          </w:p>
        </w:tc>
        <w:tc>
          <w:tcPr>
            <w:tcBorders/>
            <w:shd w:fill="auto"/>
            <w:tcW w:type="dxa" w:w="3400"/>
            <w:tcMar>
              <w:top w:type="dxa" w:w="0"/>
              <w:left w:type="dxa" w:w="108"/>
              <w:bottom w:type="dxa" w:w="0"/>
              <w:right w:type="dxa" w:w="108"/>
            </w:tcMar>
          </w:tcPr>
          <w:p>
            <w:pPr>
              <w:pStyle w:val="style0"/>
              <w:jc w:val="center"/>
              <w:spacing w:line="360" w:lineRule="atLeast"/>
            </w:pPr>
            <w:r>
              <w:rPr/>
              <w:t>19416073</w:t>
            </w:r>
          </w:p>
        </w:tc>
        <w:tc>
          <w:tcPr>
            <w:tcBorders/>
            <w:shd w:fill="auto"/>
            <w:tcW w:type="dxa" w:w="4958"/>
            <w:tcMar>
              <w:top w:type="dxa" w:w="0"/>
              <w:left w:type="dxa" w:w="108"/>
              <w:bottom w:type="dxa" w:w="0"/>
              <w:right w:type="dxa" w:w="108"/>
            </w:tcMar>
          </w:tcPr>
          <w:p>
            <w:pPr>
              <w:pStyle w:val="style0"/>
              <w:jc w:val="center"/>
              <w:spacing w:line="360" w:lineRule="atLeast"/>
            </w:pPr>
            <w:r>
              <w:rPr/>
              <w:t>23499850</w:t>
            </w:r>
          </w:p>
        </w:tc>
        <w:tc>
          <w:tcPr>
            <w:tcBorders/>
            <w:shd w:fill="auto"/>
            <w:tcW w:type="dxa" w:w="6376"/>
            <w:tcMar>
              <w:top w:type="dxa" w:w="0"/>
              <w:left w:type="dxa" w:w="108"/>
              <w:bottom w:type="dxa" w:w="0"/>
              <w:right w:type="dxa" w:w="108"/>
            </w:tcMar>
          </w:tcPr>
          <w:p>
            <w:pPr>
              <w:pStyle w:val="style0"/>
              <w:jc w:val="center"/>
              <w:spacing w:line="360" w:lineRule="atLeast"/>
            </w:pPr>
            <w:r>
              <w:rPr/>
              <w:t>22606433</w:t>
            </w:r>
          </w:p>
        </w:tc>
        <w:tc>
          <w:tcPr>
            <w:tcBorders/>
            <w:shd w:fill="auto"/>
            <w:tcW w:type="dxa" w:w="7655"/>
            <w:tcMar>
              <w:top w:type="dxa" w:w="0"/>
              <w:left w:type="dxa" w:w="108"/>
              <w:bottom w:type="dxa" w:w="0"/>
              <w:right w:type="dxa" w:w="108"/>
            </w:tcMar>
          </w:tcPr>
          <w:p>
            <w:pPr>
              <w:pStyle w:val="style0"/>
              <w:jc w:val="center"/>
              <w:spacing w:line="360" w:lineRule="atLeast"/>
            </w:pPr>
            <w:r>
              <w:rPr/>
              <w:t>2529717</w:t>
            </w:r>
          </w:p>
        </w:tc>
      </w:tr>
      <w:tr>
        <w:trPr>
          <w:cantSplit w:val="false"/>
        </w:trPr>
        <w:tc>
          <w:tcPr>
            <w:tcBorders/>
            <w:shd w:fill="auto"/>
            <w:tcW w:type="dxa" w:w="1700"/>
            <w:tcMar>
              <w:top w:type="dxa" w:w="0"/>
              <w:left w:type="dxa" w:w="108"/>
              <w:bottom w:type="dxa" w:w="0"/>
              <w:right w:type="dxa" w:w="108"/>
            </w:tcMar>
          </w:tcPr>
          <w:p>
            <w:pPr>
              <w:pStyle w:val="style0"/>
              <w:jc w:val="center"/>
              <w:spacing w:line="360" w:lineRule="atLeast"/>
            </w:pPr>
            <w:r>
              <w:rPr/>
            </w:r>
          </w:p>
        </w:tc>
        <w:tc>
          <w:tcPr>
            <w:tcBorders/>
            <w:shd w:fill="auto"/>
            <w:tcW w:type="dxa" w:w="3400"/>
            <w:tcMar>
              <w:top w:type="dxa" w:w="0"/>
              <w:left w:type="dxa" w:w="108"/>
              <w:bottom w:type="dxa" w:w="0"/>
              <w:right w:type="dxa" w:w="108"/>
            </w:tcMar>
          </w:tcPr>
          <w:p>
            <w:pPr>
              <w:pStyle w:val="style0"/>
              <w:jc w:val="center"/>
              <w:spacing w:line="360" w:lineRule="atLeast"/>
            </w:pPr>
            <w:r>
              <w:rPr/>
              <w:t>0,89954</w:t>
            </w:r>
          </w:p>
        </w:tc>
        <w:tc>
          <w:tcPr>
            <w:tcBorders/>
            <w:shd w:fill="auto"/>
            <w:tcW w:type="dxa" w:w="4958"/>
            <w:tcMar>
              <w:top w:type="dxa" w:w="0"/>
              <w:left w:type="dxa" w:w="108"/>
              <w:bottom w:type="dxa" w:w="0"/>
              <w:right w:type="dxa" w:w="108"/>
            </w:tcMar>
          </w:tcPr>
          <w:p>
            <w:pPr>
              <w:pStyle w:val="style0"/>
              <w:jc w:val="center"/>
              <w:spacing w:line="360" w:lineRule="atLeast"/>
            </w:pPr>
            <w:r>
              <w:rPr/>
              <w:t>0,85391</w:t>
            </w:r>
          </w:p>
        </w:tc>
        <w:tc>
          <w:tcPr>
            <w:tcBorders/>
            <w:shd w:fill="auto"/>
            <w:tcW w:type="dxa" w:w="6376"/>
            <w:tcMar>
              <w:top w:type="dxa" w:w="0"/>
              <w:left w:type="dxa" w:w="108"/>
              <w:bottom w:type="dxa" w:w="0"/>
              <w:right w:type="dxa" w:w="108"/>
            </w:tcMar>
          </w:tcPr>
          <w:p>
            <w:pPr>
              <w:pStyle w:val="style0"/>
              <w:jc w:val="center"/>
              <w:spacing w:line="360" w:lineRule="atLeast"/>
            </w:pPr>
            <w:r>
              <w:rPr/>
              <w:t>1,0</w:t>
            </w:r>
          </w:p>
        </w:tc>
        <w:tc>
          <w:tcPr>
            <w:tcBorders/>
            <w:shd w:fill="auto"/>
            <w:tcW w:type="dxa" w:w="7655"/>
            <w:tcMar>
              <w:top w:type="dxa" w:w="0"/>
              <w:left w:type="dxa" w:w="108"/>
              <w:bottom w:type="dxa" w:w="0"/>
              <w:right w:type="dxa" w:w="108"/>
            </w:tcMar>
          </w:tcPr>
          <w:p>
            <w:pPr>
              <w:pStyle w:val="style0"/>
              <w:jc w:val="center"/>
              <w:spacing w:line="360" w:lineRule="atLeast"/>
            </w:pPr>
            <w:r>
              <w:rPr/>
              <w:t>1,0</w:t>
            </w:r>
          </w:p>
        </w:tc>
      </w:tr>
    </w:tbl>
    <w:p>
      <w:pPr>
        <w:pStyle w:val="style0"/>
        <w:jc w:val="center"/>
      </w:pPr>
      <w:r>
        <w:rPr/>
      </w:r>
    </w:p>
    <w:p>
      <w:pPr>
        <w:pStyle w:val="style0"/>
        <w:jc w:val="center"/>
      </w:pPr>
      <w:r>
        <w:rPr/>
      </w:r>
    </w:p>
    <w:sectPr>
      <w:formProt w:val="false"/>
      <w:pgSz w:h="16838" w:w="11906"/>
      <w:docGrid w:charSpace="0" w:linePitch="36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t>Документ расположен на сайте http://elset.org</w:t>
    </w:r>
  </w:p>
</w:ftr>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color w:val="auto"/>
      <w:sz w:val="24"/>
      <w:szCs w:val="24"/>
      <w:rFonts w:ascii="Liberation Serif" w:cs="FreeSans" w:eastAsia="Droid Sans Fallback" w:hAnsi="Liberation Serif"/>
      <w:lang w:bidi="hi-IN" w:eastAsia="zh-CN" w:val="ru-RU"/>
    </w:rPr>
  </w:style>
  <w:style w:styleId="style1" w:type="paragraph">
    <w:name w:val="Заголовок 1"/>
    <w:basedOn w:val="style0"/>
    <w:next w:val="style25"/>
    <w:pPr>
      <w:jc w:val="center"/>
      <w:spacing w:after="108" w:before="108"/>
    </w:pPr>
    <w:rPr>
      <w:color w:val="000080"/>
      <w:sz w:val="20"/>
      <w:b/>
      <w:szCs w:val="20"/>
      <w:bCs/>
      <w:rFonts w:ascii="Arial" w:hAnsi="Arial"/>
    </w:rPr>
  </w:style>
  <w:style w:styleId="style15" w:type="character">
    <w:name w:val="Default Paragraph Font"/>
    <w:next w:val="style15"/>
    <w:rPr/>
  </w:style>
  <w:style w:styleId="style16" w:type="character">
    <w:name w:val="Цветовое выделение"/>
    <w:next w:val="style16"/>
    <w:rPr>
      <w:color w:val="000080"/>
      <w:sz w:val="20"/>
      <w:b/>
      <w:szCs w:val="20"/>
      <w:bCs/>
    </w:rPr>
  </w:style>
  <w:style w:styleId="style17" w:type="character">
    <w:name w:val="Гипертекстовая ссылка"/>
    <w:basedOn w:val="style16"/>
    <w:next w:val="style17"/>
    <w:rPr>
      <w:color w:val="008000"/>
      <w:u w:val="single"/>
    </w:rPr>
  </w:style>
  <w:style w:styleId="style18" w:type="character">
    <w:name w:val="Найденные слова"/>
    <w:basedOn w:val="style16"/>
    <w:next w:val="style18"/>
    <w:rPr/>
  </w:style>
  <w:style w:styleId="style19" w:type="character">
    <w:name w:val="Не вступил в силу"/>
    <w:basedOn w:val="style16"/>
    <w:next w:val="style19"/>
    <w:rPr>
      <w:color w:val="008080"/>
    </w:rPr>
  </w:style>
  <w:style w:styleId="style20" w:type="character">
    <w:name w:val="Продолжение ссылки"/>
    <w:basedOn w:val="style17"/>
    <w:next w:val="style20"/>
    <w:rPr/>
  </w:style>
  <w:style w:styleId="style21" w:type="character">
    <w:name w:val="Утратил силу"/>
    <w:basedOn w:val="style16"/>
    <w:next w:val="style21"/>
    <w:rPr>
      <w:color w:val="808000"/>
      <w:strike/>
    </w:rPr>
  </w:style>
  <w:style w:styleId="style22" w:type="character">
    <w:name w:val="Placeholder Text"/>
    <w:basedOn w:val="style15"/>
    <w:next w:val="style22"/>
    <w:rPr>
      <w:color w:val="808080"/>
    </w:rPr>
  </w:style>
  <w:style w:styleId="style23" w:type="character">
    <w:name w:val="Интернет-ссылка"/>
    <w:next w:val="style23"/>
    <w:rPr>
      <w:color w:val="000080"/>
      <w:u w:val="single"/>
      <w:lang w:bidi="ru-RU" w:eastAsia="ru-RU" w:val="ru-RU"/>
    </w:rPr>
  </w:style>
  <w:style w:styleId="style24" w:type="paragraph">
    <w:name w:val="Заголовок"/>
    <w:basedOn w:val="style0"/>
    <w:next w:val="style25"/>
    <w:pPr>
      <w:keepNext/>
      <w:spacing w:after="120" w:before="240"/>
    </w:pPr>
    <w:rPr>
      <w:sz w:val="28"/>
      <w:szCs w:val="28"/>
      <w:rFonts w:ascii="Liberation Sans" w:cs="FreeSans" w:eastAsia="Droid Sans Fallback" w:hAnsi="Liberation Sans"/>
    </w:rPr>
  </w:style>
  <w:style w:styleId="style25" w:type="paragraph">
    <w:name w:val="Основной текст"/>
    <w:basedOn w:val="style0"/>
    <w:next w:val="style25"/>
    <w:pPr>
      <w:spacing w:after="120" w:before="0"/>
    </w:pPr>
    <w:rPr/>
  </w:style>
  <w:style w:styleId="style26" w:type="paragraph">
    <w:name w:val="Список"/>
    <w:basedOn w:val="style25"/>
    <w:next w:val="style26"/>
    <w:pPr/>
    <w:rPr>
      <w:rFonts w:cs="FreeSans"/>
    </w:rPr>
  </w:style>
  <w:style w:styleId="style27" w:type="paragraph">
    <w:name w:val="Название"/>
    <w:basedOn w:val="style0"/>
    <w:next w:val="style27"/>
    <w:pPr>
      <w:suppressLineNumbers/>
      <w:spacing w:after="120" w:before="120"/>
    </w:pPr>
    <w:rPr>
      <w:sz w:val="24"/>
      <w:i/>
      <w:szCs w:val="24"/>
      <w:iCs/>
      <w:rFonts w:cs="FreeSans"/>
    </w:rPr>
  </w:style>
  <w:style w:styleId="style28" w:type="paragraph">
    <w:name w:val="Указатель"/>
    <w:basedOn w:val="style0"/>
    <w:next w:val="style28"/>
    <w:pPr>
      <w:suppressLineNumbers/>
    </w:pPr>
    <w:rPr>
      <w:rFonts w:cs="FreeSans"/>
    </w:rPr>
  </w:style>
  <w:style w:styleId="style29" w:type="paragraph">
    <w:name w:val="Основной текст с отступом"/>
    <w:basedOn w:val="style0"/>
    <w:next w:val="style29"/>
    <w:pPr>
      <w:jc w:val="both"/>
      <w:ind w:firstLine="708" w:left="283" w:right="0"/>
    </w:pPr>
    <w:rPr/>
  </w:style>
  <w:style w:styleId="style30" w:type="paragraph">
    <w:name w:val="Заголовок статьи"/>
    <w:basedOn w:val="style0"/>
    <w:next w:val="style30"/>
    <w:pPr>
      <w:jc w:val="both"/>
      <w:ind w:hanging="892" w:left="1612" w:right="0"/>
    </w:pPr>
    <w:rPr>
      <w:sz w:val="20"/>
      <w:szCs w:val="20"/>
      <w:rFonts w:ascii="Arial" w:hAnsi="Arial"/>
    </w:rPr>
  </w:style>
  <w:style w:styleId="style31" w:type="paragraph">
    <w:name w:val="Текст (лев. подпись)"/>
    <w:basedOn w:val="style0"/>
    <w:next w:val="style31"/>
    <w:pPr/>
    <w:rPr>
      <w:sz w:val="20"/>
      <w:szCs w:val="20"/>
      <w:rFonts w:ascii="Arial" w:hAnsi="Arial"/>
    </w:rPr>
  </w:style>
  <w:style w:styleId="style32" w:type="paragraph">
    <w:name w:val="Колонтитул (левый)"/>
    <w:basedOn w:val="style31"/>
    <w:next w:val="style32"/>
    <w:pPr/>
    <w:rPr>
      <w:sz w:val="14"/>
      <w:szCs w:val="14"/>
    </w:rPr>
  </w:style>
  <w:style w:styleId="style33" w:type="paragraph">
    <w:name w:val="Текст (прав. подпись)"/>
    <w:basedOn w:val="style0"/>
    <w:next w:val="style33"/>
    <w:pPr>
      <w:jc w:val="right"/>
    </w:pPr>
    <w:rPr>
      <w:sz w:val="20"/>
      <w:szCs w:val="20"/>
      <w:rFonts w:ascii="Arial" w:hAnsi="Arial"/>
    </w:rPr>
  </w:style>
  <w:style w:styleId="style34" w:type="paragraph">
    <w:name w:val="Колонтитул (правый)"/>
    <w:basedOn w:val="style33"/>
    <w:next w:val="style34"/>
    <w:pPr/>
    <w:rPr>
      <w:sz w:val="14"/>
      <w:szCs w:val="14"/>
    </w:rPr>
  </w:style>
  <w:style w:styleId="style35" w:type="paragraph">
    <w:name w:val="Комментарий"/>
    <w:basedOn w:val="style0"/>
    <w:next w:val="style35"/>
    <w:pPr>
      <w:jc w:val="both"/>
      <w:ind w:hanging="0" w:left="170" w:right="0"/>
    </w:pPr>
    <w:rPr>
      <w:color w:val="800080"/>
      <w:sz w:val="20"/>
      <w:i/>
      <w:szCs w:val="20"/>
      <w:iCs/>
      <w:rFonts w:ascii="Arial" w:hAnsi="Arial"/>
    </w:rPr>
  </w:style>
  <w:style w:styleId="style36" w:type="paragraph">
    <w:name w:val="Комментарий пользователя"/>
    <w:basedOn w:val="style35"/>
    <w:next w:val="style36"/>
    <w:pPr>
      <w:jc w:val="left"/>
    </w:pPr>
    <w:rPr>
      <w:color w:val="000080"/>
    </w:rPr>
  </w:style>
  <w:style w:styleId="style37" w:type="paragraph">
    <w:name w:val="Таблицы (моноширинный)"/>
    <w:basedOn w:val="style0"/>
    <w:next w:val="style37"/>
    <w:pPr>
      <w:jc w:val="both"/>
    </w:pPr>
    <w:rPr>
      <w:sz w:val="20"/>
      <w:szCs w:val="20"/>
      <w:rFonts w:ascii="Courier New" w:cs="Courier New" w:hAnsi="Courier New"/>
    </w:rPr>
  </w:style>
  <w:style w:styleId="style38" w:type="paragraph">
    <w:name w:val="Оглавление"/>
    <w:basedOn w:val="style37"/>
    <w:next w:val="style38"/>
    <w:pPr>
      <w:ind w:hanging="0" w:left="140" w:right="0"/>
    </w:pPr>
    <w:rPr/>
  </w:style>
  <w:style w:styleId="style39" w:type="paragraph">
    <w:name w:val="Основное меню"/>
    <w:basedOn w:val="style0"/>
    <w:next w:val="style39"/>
    <w:pPr>
      <w:jc w:val="both"/>
      <w:ind w:firstLine="720" w:left="0" w:right="0"/>
    </w:pPr>
    <w:rPr>
      <w:sz w:val="18"/>
      <w:szCs w:val="18"/>
      <w:rFonts w:ascii="Verdana" w:cs="Verdana" w:hAnsi="Verdana"/>
    </w:rPr>
  </w:style>
  <w:style w:styleId="style40" w:type="paragraph">
    <w:name w:val="Переменная часть"/>
    <w:basedOn w:val="style39"/>
    <w:next w:val="style40"/>
    <w:pPr/>
    <w:rPr/>
  </w:style>
  <w:style w:styleId="style41" w:type="paragraph">
    <w:name w:val="Постоянная часть"/>
    <w:basedOn w:val="style39"/>
    <w:next w:val="style41"/>
    <w:pPr/>
    <w:rPr>
      <w:u w:val="single"/>
      <w:b/>
      <w:bCs/>
    </w:rPr>
  </w:style>
  <w:style w:styleId="style42" w:type="paragraph">
    <w:name w:val="Прижатый влево"/>
    <w:basedOn w:val="style0"/>
    <w:next w:val="style42"/>
    <w:pPr/>
    <w:rPr>
      <w:sz w:val="20"/>
      <w:szCs w:val="20"/>
      <w:rFonts w:ascii="Arial" w:hAnsi="Arial"/>
    </w:rPr>
  </w:style>
  <w:style w:styleId="style43" w:type="paragraph">
    <w:name w:val="Словарная статья"/>
    <w:basedOn w:val="style0"/>
    <w:next w:val="style43"/>
    <w:pPr>
      <w:jc w:val="both"/>
      <w:ind w:hanging="0" w:left="0" w:right="118"/>
    </w:pPr>
    <w:rPr>
      <w:sz w:val="20"/>
      <w:szCs w:val="20"/>
      <w:rFonts w:ascii="Arial" w:hAnsi="Arial"/>
    </w:rPr>
  </w:style>
  <w:style w:styleId="style44" w:type="paragraph">
    <w:name w:val="Текст (справка)"/>
    <w:basedOn w:val="style0"/>
    <w:next w:val="style44"/>
    <w:pPr>
      <w:ind w:hanging="0" w:left="170" w:right="170"/>
    </w:pPr>
    <w:rPr>
      <w:sz w:val="20"/>
      <w:szCs w:val="20"/>
      <w:rFonts w:ascii="Arial" w:hAnsi="Arial"/>
    </w:rPr>
  </w:style>
  <w:style w:styleId="style45" w:type="paragraph">
    <w:name w:val="Balloon Text"/>
    <w:basedOn w:val="style0"/>
    <w:next w:val="style45"/>
    <w:pPr/>
    <w:rPr>
      <w:sz w:val="16"/>
      <w:szCs w:val="16"/>
      <w:rFonts w:ascii="Tahoma" w:cs="Tahoma" w:hAnsi="Tahoma"/>
    </w:rPr>
  </w:style>
  <w:style w:styleId="style46" w:type="paragraph">
    <w:name w:val="Нижний колонтитул"/>
    <w:basedOn w:val="style0"/>
    <w:next w:val="style46"/>
    <w:pPr>
      <w:tabs>
        <w:tab w:leader="none" w:pos="4677" w:val="center"/>
        <w:tab w:leader="none" w:pos="9355"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2010-11-13T11:10:00.00Z</dcterms:created>
  <dc:creator>USER</dc:creator>
  <cp:lastModifiedBy>Ксалова Фатима</cp:lastModifiedBy>
  <cp:lastPrinted>2009-08-10T13:16:00.00Z</cp:lastPrinted>
  <dcterms:modified xsi:type="dcterms:W3CDTF">2011-01-12T11:33:00.00Z</dcterms:modified>
  <cp:revision>15</cp:revision>
  <dc:title>Доля продажи электроэнергии потребителям по регулируемым ценам в феврале 2007 года рассчитывалась следующим образом:</dc:title>
</cp:coreProperties>
</file>